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Гигиена детей и подростков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Гигиена детей и подростков | Записей: 1 | Кейс: 2 | Вопросов: 12</w:t>
      </w:r>
    </w:p>
    <w:p>
      <w:r>
        <w:br w:type="page"/>
      </w:r>
    </w:p>
    <w:p>
      <w:pPr>
        <w:pStyle w:val="Heading1"/>
      </w:pPr>
      <w:r>
        <w:t>Гигиена детей и подростков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Гигиена детей и подростков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Организовать и провести консультирование по обращению администрации организации для детей-сирот по вопросам, связанным с осуществлением государственного санитарно-эпидемиологического надзора.</w:t>
      </w:r>
    </w:p>
    <w:p>
      <w:pPr>
        <w:pStyle w:val="Heading2"/>
      </w:pPr>
      <w:r>
        <w:t>1. Оценка ситуации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видам профилактических мероприятий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информирование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консультирование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письменное разъяснение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профилактический визит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объявление предостережения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самообследование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информирование; консультирование; профилактический визит; объявление предостережения; самообследование</w:t>
      </w:r>
    </w:p>
    <w:p>
      <w:pPr>
        <w:ind w:left="504"/>
      </w:pPr>
      <w:r>
        <w:rPr>
          <w:b w:val="0"/>
          <w:i/>
        </w:rPr>
        <w:t>Контрольные (надзорные) органы могут проводить следующие профилактические мероприятия:</w:t>
        <w:br/>
        <w:br/>
        <w:t>1) информирование; «…»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1, ст. 45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Контрольные (надзорные) органы могут проводить следующие профилактические мероприятия:</w:t>
        <w:br/>
        <w:br/>
        <w:t>«…»</w:t>
        <w:br/>
        <w:br/>
        <w:t>5) консультирование;</w:t>
        <w:br/>
        <w:br/>
        <w:t>«…»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1, ст. 45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Контрольные (надзорные) органы могут проводить следующие профилактические мероприятия:</w:t>
        <w:br/>
        <w:br/>
        <w:t>«…»</w:t>
        <w:br/>
        <w:br/>
        <w:t>7) профилактический визит.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1, ст. 45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Контрольные (надзорные) органы могут проводить следующие профилактические мероприятия:</w:t>
        <w:br/>
        <w:br/>
        <w:t>«…»</w:t>
        <w:br/>
        <w:br/>
        <w:t>4) объявление предостережения;</w:t>
        <w:br/>
        <w:br/>
        <w:t>«…»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1, ст. 45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Контрольные (надзорные) органы могут проводить следующие профилактические мероприятия:</w:t>
        <w:br/>
        <w:br/>
        <w:t>«…»</w:t>
        <w:br/>
        <w:br/>
        <w:t>6) самообследование;</w:t>
        <w:br/>
        <w:br/>
        <w:t>«…»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1, ст. 45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основным законодательным и нормативным документам, используемым в ходе проверки организации для детей-сирот,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ФЗ от 30.03.1999 № 52 «О санитарно-эпидемиологическом благополучии населения»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Федеральный закон от 29.12.2012 № 273-ФЗ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Федеральный закон «О государственном контроле (надзоре) и муниципальном контроле в Российской Федерации» от 31.07.2020 № 248-ФЗ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 ТС 008/2011 «О безопасности игрушек»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СП 2.4.3648-20 «Санитарно-эпидемиологические требования к организациям воспитания и обучения, отдыха и оздоровления детей и молодежи»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ФЗ от 30.03.1999 № 52 «О санитарно-эпидемиологическом благополучии населения»; Федеральный закон «О государственном контроле (надзоре) и муниципальном контроле в Российской Федерации» от 31.07.2020 № 248-ФЗ; СП 2.4.3648-20 «Санитарно-эпидемиологические требования к организациям воспитания и обучения, отдыха и оздоровления детей и молодежи»;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</w:p>
    <w:p>
      <w:pPr>
        <w:ind w:left="504"/>
      </w:pPr>
      <w:r>
        <w:rPr>
          <w:b w:val="0"/>
          <w:i/>
        </w:rPr>
        <w:t>Предметом государственного контроля (надзора) являются: «…»</w:t>
        <w:br/>
        <w:t>соблюдение иных обязательных требований в области санитарно-эпидемиологического благополучия населения, установленных Федеральным законом «О санитарно-эпидемиологическом благополучии населения» «…»</w:t>
        <w:br/>
        <w:br/>
        <w:t>Постановления Правительства РФ от 30 июня 2021 г. № 1100 «О федеральном государственном санитарно-эпидемиологическом контроле (надзоре)», п. 3</w:t>
        <w:br/>
        <w:br/>
      </w:r>
      <w:hyperlink r:id="rId10">
        <w:r>
          <w:rPr>
            <w:color w:val="0F766E"/>
            <w:u w:val="single"/>
          </w:rPr>
          <w:t>https://docs.cntd.ru/document/607148291</w:t>
        </w:r>
      </w:hyperlink>
    </w:p>
    <w:p>
      <w:pPr>
        <w:ind w:left="504"/>
      </w:pPr>
      <w:r>
        <w:rPr>
          <w:b w:val="0"/>
          <w:i/>
        </w:rPr>
        <w:t>Под государственным контролем (надзором), муниципальным контролем в Российской Федерации (далее - государственный контроль (надзор), муниципальный контроль) в целях настоящего Федерального закона понимается деятельность контрольных (надзорных) органов, направленная на предупреждение, выявление и пресечение нарушений обязательных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1, ст.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Настоящие санитарные правила направлены на охрану здоровья детей и молодежи, предотвращение инфекционных, массовых неинфекционных заболеваний (отравлений) и устанавливают санитарно-эпидемиологические требования к обеспечению безопасных условий образовательной деятельности «…», включая требования к «…» отдыху и оздоровлению «…».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1.1</w:t>
        <w:br/>
        <w:br/>
      </w:r>
      <w:hyperlink r:id="rId11">
        <w:r>
          <w:rPr>
            <w:color w:val="0F766E"/>
            <w:u w:val="single"/>
          </w:rPr>
          <w:t>https://docs.cntd.ru/document/566085656</w:t>
        </w:r>
      </w:hyperlink>
    </w:p>
    <w:p>
      <w:pPr>
        <w:ind w:left="504"/>
      </w:pPr>
      <w:r>
        <w:rPr>
          <w:b w:val="0"/>
          <w:i/>
        </w:rPr>
        <w:t>В соответствии с главой VI «Гигиенические нормативы по устройству, содержанию и режиму работы организаций воспитания и обучения, отдыха и оздоровления детей и молодежи» СанПиН 1.2.3685-21 «Гигиенические нормативы и требования к обеспечению безопасности и (или) безвредности для человека факторов среды обитания», стр.369-397</w:t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гл. VI, с.369-397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Порядок проведения консультирования предусматривает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получение разъяснений по вопросам, связанным с организацией и осуществлением государственного санитарно-эпидемиологического надзора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проведение данного профилактического мероприятия по телефону, либо посредством видео-конференц-связи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отсутствие взимания платы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предоставление информации, содержащей решения должностных лиц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предоставление результатов проведенных экспертиз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осуществление данного профилактического мероприятия должностным лицом надзорного органа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получение разъяснений по вопросам, связанным с организацией и осуществлением государственного санитарно-эпидемиологического надзора; проведение данного профилактического мероприятия по телефону, либо посредством видео-конференц-связи; отсутствие взимания платы; осуществление данного профилактического мероприятия должностным лицом надзорного органа</w:t>
      </w:r>
    </w:p>
    <w:p>
      <w:pPr>
        <w:ind w:left="504"/>
      </w:pPr>
      <w:r>
        <w:rPr>
          <w:b w:val="0"/>
          <w:i/>
        </w:rPr>
        <w:t>Должностное лицо контрольного (надзорного) органа по обращениям контролируемых лиц и их представителей осуществляет консультирование (дает разъяснения по вопросам, связанным с организацией и осуществлением государственного контроля (надзора), муниципального контроля).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1, ст. 50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Консультирование может осуществляться должностным лицом контрольного (надзорного) органа по телефону, посредством видео-конференц-связи, «…»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2, ст. 50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«…» Консультирование осуществляется без взимания платы.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1, ст. 50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Должностное лицо контрольного (надзорного) органа по обращениям контролируемых лиц и их представителей осуществляет консультирование (дает разъяснения по вопросам, связанным с организацией и осуществлением государственного контроля (надзора), муниципального контроля). «…»</w:t>
        <w:br/>
        <w:br/>
        <w:t>Федерального закона «О государственном контроле (надзоре) и муниципальном контроле в Российской Федерации» от 31.07.2020 N 248-ФЗ, п. 1, ст. 50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требованиям санитарного законодательства, обязательным для исполнения сотрудниками организации для детей-сирот,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обязательную гигиеническую подготовку и аттестацию персонала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предварительный и периодические медицинские осмотры при поступлении на работу в установленном порядке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вакцинацию каждого работника в соответствии с национальным календарем профилактических прививок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обязательное гигиеническое обучение и аттестацию персонала не реже 1 раза в 2 года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наличие личной медицинской книжки у работника организации для детей-сирот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ежедневный осмотр после окончания работы персонала организации для детей-сирот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обязательную гигиеническую подготовку и аттестацию персонала; предварительный и периодические медицинские осмотры при поступлении на работу в установленном порядке; вакцинацию каждого работника в соответствии с национальным календарем профилактических прививок; наличие личной медицинской книжки у работника организации для детей-сирот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«…» иметь личную медицинскую книжку с результатами медицинских обследований и лабораторных исследований, сведениями о прививках, «…».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Минимальный набор помещений для размещения воспитательных групп в организациях для детей-сирот предусматривает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санитарно-бытовых помещений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помещений для занятий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помещений для приема и приготовления пищи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гостиной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спален, раздельных для мальчиков и девочек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гладильной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санитарно-бытовых помещений; помещений для занятий; помещений для приема и приготовления пищи; гостиной; спален, раздельных для мальчиков и девочек</w:t>
      </w:r>
    </w:p>
    <w:p>
      <w:pPr>
        <w:ind w:left="504"/>
      </w:pPr>
      <w:r>
        <w:rPr>
          <w:b w:val="0"/>
          <w:i/>
        </w:rP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«…» санитарно-бытовые помещения (санитарные узлы, душевая или ванная комната);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3.7.2</w:t>
      </w:r>
    </w:p>
    <w:p>
      <w:pPr>
        <w:ind w:left="504"/>
      </w:pPr>
      <w:r>
        <w:rPr>
          <w:b w:val="0"/>
          <w:i/>
        </w:rP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«…» помещение для занятий (подготовки уроков);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3.7.2</w:t>
      </w:r>
    </w:p>
    <w:p>
      <w:pPr>
        <w:ind w:left="504"/>
      </w:pPr>
      <w:r>
        <w:rPr>
          <w:b w:val="0"/>
          <w:i/>
        </w:rP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«…» помещение для приема и (или) приготовления пищи;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3.7.2</w:t>
      </w:r>
    </w:p>
    <w:p>
      <w:pPr>
        <w:ind w:left="504"/>
      </w:pPr>
      <w:r>
        <w:rPr>
          <w:b w:val="0"/>
          <w:i/>
        </w:rP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«…» помещение для отдыха и игр (гостиная);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3.7.2</w:t>
      </w:r>
    </w:p>
    <w:p>
      <w:pPr>
        <w:ind w:left="504"/>
      </w:pPr>
      <w:r>
        <w:rPr>
          <w:b w:val="0"/>
          <w:i/>
        </w:rP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жилые комнаты (спальни, раздельные для мальчиков и девочек);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3.7.2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нарушениям санитарного законодательства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просушивание верхней одежды в жилых помещениях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комнаты воспитателя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превышение наполняемости воспитательных групп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проведение влажной уборки 1 раз в день во всех помещениях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отсутствие приборов для обеззараживания воздуха в помещениях постоянного пребывания детей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уборку санитарных помещений с использованием моющих средств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просушивание верхней одежды в жилых помещениях; превышение наполняемости воспитательных групп; проведение влажной уборки 1 раз в день во всех помещениях; отсутствие приборов для обеззараживания воздуха в помещениях постоянного пребывания детей; уборку санитарных помещений с использованием моющих средств</w:t>
      </w:r>
    </w:p>
    <w:p>
      <w:pPr>
        <w:ind w:left="504"/>
      </w:pPr>
      <w:r>
        <w:rPr>
          <w:b w:val="0"/>
          <w:i/>
        </w:rPr>
        <w:t>В каждой группе должны быть обеспечены условия для просушивания верхней одежды и обуви детей.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3.7.4</w:t>
      </w:r>
    </w:p>
    <w:p>
      <w:pPr>
        <w:ind w:left="504"/>
      </w:pPr>
      <w:r>
        <w:rPr>
          <w:b w:val="0"/>
          <w:i/>
        </w:rPr>
        <w:t>«…» Численность детей в воспитательной группе в возрасте до 4 лет не должна превышать 6 человек, в возрасте от 4-х и старше - 8 человек.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3.7.1</w:t>
      </w:r>
    </w:p>
    <w:p>
      <w:pPr>
        <w:ind w:left="504"/>
      </w:pPr>
      <w:r>
        <w:rPr>
          <w:b w:val="0"/>
          <w:i/>
        </w:rPr>
        <w:t>«…» Все помещения подлежат ежедневной влажной уборке с применением моющих средств. Влажная уборка в спальнях проводится после ночного и дневного сна, в спортивных залах и групповых помещениях не реже 2 раз в день.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2.11.2</w:t>
        <w:br/>
        <w:br/>
      </w:r>
      <w:hyperlink r:id="rId11">
        <w:r>
          <w:rPr>
            <w:color w:val="0F766E"/>
            <w:u w:val="single"/>
          </w:rPr>
          <w:t>https://docs.cntd.ru/document/566085656</w:t>
        </w:r>
      </w:hyperlink>
    </w:p>
    <w:p>
      <w:pPr>
        <w:ind w:left="504"/>
      </w:pPr>
      <w:r>
        <w:rPr>
          <w:b w:val="0"/>
          <w:i/>
        </w:rPr>
        <w:t>Помещения постоянного пребывания и проживания детей оборудуются приборами по обеззараживанию воздуха.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3.7.2</w:t>
      </w:r>
    </w:p>
    <w:p>
      <w:pPr>
        <w:ind w:left="504"/>
      </w:pPr>
      <w:r>
        <w:rPr>
          <w:b w:val="0"/>
          <w:i/>
        </w:rPr>
        <w:t>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пищеблока, проводится с использованием дезинфицирующих средств.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2.11.4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Спальные комнаты для проживания должны быть обеспечены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комодами для каждого проживающего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столом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тумбочками по количеству проживающих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шкафами для раздельного хранения одежды и обуви с возможностью использования их всеми проживающими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кроватями, имеющими твердое ложе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стульями по количеству проживающих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столом; тумбочками по количеству проживающих; шкафами для раздельного хранения одежды и обуви с возможностью использования их всеми проживающими; кроватями, имеющими твердое ложе; стульями по количеству проживающих</w:t>
      </w:r>
    </w:p>
    <w:p>
      <w:pPr>
        <w:ind w:left="504"/>
      </w:pPr>
      <w:r>
        <w:rPr>
          <w:b w:val="0"/>
          <w:i/>
        </w:rPr>
        <w:t>Спальные комнаты для проживания обеспечиваются «…» столом, «…». Количество столов «…» должно предусматривать возможность использования их всеми проживающими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2.4.7</w:t>
      </w:r>
    </w:p>
    <w:p>
      <w:pPr>
        <w:ind w:left="504"/>
      </w:pPr>
      <w:r>
        <w:rPr>
          <w:b w:val="0"/>
          <w:i/>
        </w:rPr>
        <w:t>Спальные комнаты для проживания обеспечиваются кроватями, тумбочками и стульями (табуреты) по количеству проживающих,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2.4.7</w:t>
      </w:r>
    </w:p>
    <w:p>
      <w:pPr>
        <w:ind w:left="504"/>
      </w:pPr>
      <w:r>
        <w:rPr>
          <w:b w:val="0"/>
          <w:i/>
        </w:rPr>
        <w:t>Спальные комнаты для проживания обеспечиваются «…» шкафом (шкафами) для раздельного хранения одежды и обуви. Количество столов и шкафов должно предусматривать возможность использования их всеми проживающими и возможность раздельного хранения вещей.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2.4.7</w:t>
      </w:r>
    </w:p>
    <w:p>
      <w:pPr>
        <w:ind w:left="504"/>
      </w:pPr>
      <w:r>
        <w:rPr>
          <w:b w:val="0"/>
          <w:i/>
        </w:rPr>
        <w:t>Спальные комнаты для проживания обеспечиваются кроватями, «…»</w:t>
        <w:br/>
        <w:br/>
        <w:t>Кровати должны иметь твердое ложе.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2.4.7, 2.4.8</w:t>
      </w:r>
    </w:p>
    <w:p>
      <w:pPr>
        <w:ind w:left="504"/>
      </w:pPr>
      <w:r>
        <w:rPr>
          <w:b w:val="0"/>
          <w:i/>
        </w:rPr>
        <w:t>Спальные комнаты для проживания обеспечиваются кроватями, тумбочками и стульями (табуреты) по количеству проживающих,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2.4.7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 требованиям к оборудованию туалетных комнат в организации для детей-сирот относят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туалетных кабин с дверями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туалетных комнат для детей (молодежи) разного пола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держателей для туалетной бумаги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сидений на унитазы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кондиционера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умывальных раковин, обеспеченных мылом, электро- или бумажными полотенцами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туалетных кабин с дверями; туалетных комнат для детей (молодежи) разного пола; держателей для туалетной бумаги; сидений на унитазы; умывальных раковин, обеспеченных мылом, электро- или бумажными полотенцами</w:t>
      </w:r>
    </w:p>
    <w:p>
      <w:pPr>
        <w:ind w:left="504"/>
      </w:pPr>
      <w:r>
        <w:rPr>
          <w:b w:val="0"/>
          <w:i/>
        </w:rPr>
        <w:t>«…»Туалетные комнаты оборудуются умывальниками и туалетными кабинами с дверями.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2.4.11</w:t>
      </w:r>
    </w:p>
    <w:p>
      <w:pPr>
        <w:ind w:left="504"/>
      </w:pPr>
      <w:r>
        <w:rPr>
          <w:b w:val="0"/>
          <w:i/>
        </w:rPr>
        <w:t>«…» На каждом этаже «…» организаций для детей-сирот и детей, оставшихся без попечения родителей, «…» оборудуются туалетные комнаты для детей (молодежи) разного пола.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2.4.11</w:t>
      </w:r>
    </w:p>
    <w:p>
      <w:pPr>
        <w:ind w:left="504"/>
      </w:pPr>
      <w:r>
        <w:rPr>
          <w:b w:val="0"/>
          <w:i/>
        </w:rPr>
        <w:t>Туалетные кабины оснащаются «…» держателями для туалетной бумаги,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2.4.11</w:t>
      </w:r>
    </w:p>
    <w:p>
      <w:pPr>
        <w:ind w:left="504"/>
      </w:pPr>
      <w:r>
        <w:rPr>
          <w:b w:val="0"/>
          <w:i/>
        </w:rPr>
        <w:t>«…» Туалетные кабины оснащаются «…», сиденьями на унитазы.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2.4.11</w:t>
      </w:r>
    </w:p>
    <w:p>
      <w:pPr>
        <w:ind w:left="504"/>
      </w:pPr>
      <w:r>
        <w:rPr>
          <w:b w:val="0"/>
          <w:i/>
        </w:rPr>
        <w:t>«…» Умывальные раковины обеспечиваются мылом, электро- или бумажными полотенцами, ведрами для сбора мусора.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2.4.11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Планировка пищеблока организации для детей-сирот, работающем на сырье, предусматривает обязательное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цеха вторичной обработки овощей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холодного цеха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загрузочного цеха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мясо-рыбного цеха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моечной для кухонной посуды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помещения для хранения тары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цеха вторичной обработки овощей; холодного цеха; загрузочного цеха; мясо-рыбного цеха; моечной для кухонной посуды</w:t>
      </w:r>
    </w:p>
    <w:p>
      <w:pPr>
        <w:ind w:left="504"/>
      </w:pPr>
      <w:r>
        <w:rPr>
          <w:b w:val="0"/>
          <w:i/>
        </w:rPr>
        <w:t>В составе комплекса помещений для приготовления и раздачи пищи, работающих на сырье, должны быть предусмотрены следующие помещения: «…» цех вторичной обработки овощей,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2.4.6.1</w:t>
      </w:r>
    </w:p>
    <w:p>
      <w:pPr>
        <w:ind w:left="504"/>
      </w:pPr>
      <w:r>
        <w:rPr>
          <w:b w:val="0"/>
          <w:i/>
        </w:rPr>
        <w:t>В составе комплекса помещений для приготовления и раздачи пищи, работающих на сырье, должны быть предусмотрены следующие помещения: «…» холодный цех,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2.4.6.1</w:t>
      </w:r>
    </w:p>
    <w:p>
      <w:pPr>
        <w:ind w:left="504"/>
      </w:pPr>
      <w:r>
        <w:rPr>
          <w:b w:val="0"/>
          <w:i/>
        </w:rPr>
        <w:t>В составе комплекса помещений для приготовления и раздачи пищи, работающих на сырье, должны быть предусмотрены следующие помещения: загрузочный цех,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2.4.6.1</w:t>
      </w:r>
    </w:p>
    <w:p>
      <w:pPr>
        <w:ind w:left="504"/>
      </w:pPr>
      <w:r>
        <w:rPr>
          <w:b w:val="0"/>
          <w:i/>
        </w:rPr>
        <w:t>В составе комплекса помещений для приготовления и раздачи пищи, работающих на сырье, должны быть предусмотрены следующие помещения: «…» мясо-рыбный цех,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2.4.6.1</w:t>
      </w:r>
    </w:p>
    <w:p>
      <w:pPr>
        <w:ind w:left="504"/>
      </w:pPr>
      <w:r>
        <w:rPr>
          <w:b w:val="0"/>
          <w:i/>
        </w:rPr>
        <w:t>В составе комплекса помещений для приготовления и раздачи пищи, работающих на сырье, должны быть предусмотрены следующие помещения: «…» моечная для кухонной посуды,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2.4.6.1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 гигиеническим требованиям к системе общего освещения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спальных корпусах предусматривается ночное (дежурное) освещение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допускается в одном помещении использовать разные типы ламп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неисправные люминесцентные лампы подвергаются ремонту и повторно используются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наличие потолочных светильников с люминесцентными или светодиодными лампами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осветительные приборы должны иметь светорассеивающую конструкцию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источники освещения должны содержаться в чистоте и исправном состоянии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 спальных корпусах предусматривается ночное (дежурное) освещение; не допускается в одном помещении использовать разные типы ламп; наличие потолочных светильников с люминесцентными или светодиодными лампами; осветительные приборы должны иметь светорассеивающую конструкцию; источники освещения должны содержаться в чистоте и исправном состоянии</w:t>
      </w:r>
    </w:p>
    <w:p>
      <w:pPr>
        <w:ind w:left="504"/>
      </w:pPr>
      <w:r>
        <w:rPr>
          <w:b w:val="0"/>
          <w:i/>
        </w:rPr>
        <w:t>В спальных корпусах дополнительно предусматривается дежурное (ночное) освещение в рекреациях (коридорах).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2.8.7</w:t>
      </w:r>
    </w:p>
    <w:p>
      <w:pPr>
        <w:ind w:left="504"/>
      </w:pPr>
      <w:r>
        <w:rPr>
          <w:b w:val="0"/>
          <w:i/>
        </w:rPr>
        <w:t>«…» Не допускается в одном помещении использовать разные типы ламп, а также лампы с разным светоизлучением.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2.8.5</w:t>
      </w:r>
    </w:p>
    <w:p>
      <w:pPr>
        <w:ind w:left="504"/>
      </w:pPr>
      <w:r>
        <w:rPr>
          <w:b w:val="0"/>
          <w:i/>
        </w:rPr>
        <w:t>Система общего освещения обеспечивается потолочными светильниками с разрядными, люминесцентными или светодиодными лампами «…»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2.8.5</w:t>
      </w:r>
    </w:p>
    <w:p>
      <w:pPr>
        <w:ind w:left="504"/>
      </w:pPr>
      <w:r>
        <w:rPr>
          <w:b w:val="0"/>
          <w:i/>
        </w:rPr>
        <w:t>Осветительные приборы должны иметь светорассеивающую конструкцию «..»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2.8.6</w:t>
      </w:r>
    </w:p>
    <w:p>
      <w:pPr>
        <w:ind w:left="504"/>
      </w:pPr>
      <w:r>
        <w:rPr>
          <w:b w:val="0"/>
          <w:i/>
        </w:rPr>
        <w:t>Все источники искусственного освещения должны содержаться в исправном состоянии и не должны содержать следы загрязнений.</w:t>
        <w:br/>
        <w:br/>
        <w:t>СП 2.4.3648-20 «Санитарно-эпидемиологические требования к организациям воспитания и обучения, отдыха и оздоровления детей и молодежи», п. 2.8.9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 нормируемым показателям организации образовательного процесса в организации для детей-сирот относят продолжительность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дневной суммарной образовательной нагрузки для обучающихся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ночного сна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утренней зарядки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учебного занятия для обучающихся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дневного сна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проведения физкультурно-оздоровительных мероприятий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дневной суммарной образовательной нагрузки для обучающихся; ночного сна; утренней зарядки; учебного занятия для обучающихся; дневного сна</w:t>
      </w:r>
    </w:p>
    <w:p>
      <w:pPr>
        <w:ind w:left="504"/>
      </w:pPr>
      <w:r>
        <w:rPr>
          <w:b w:val="0"/>
          <w:i/>
        </w:rPr>
        <w:t>Показатель «продолжительность дневной суммарной образовательной нагрузки для обучающихся» нормируется для детей разных возрастов в соответствии с таблицей 6.6. «Требования к организации образовательного процесса»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ч. VI, табл. 6.6.</w:t>
        <w:br/>
        <w:br/>
      </w:r>
      <w:hyperlink r:id="rId12">
        <w:r>
          <w:rPr>
            <w:color w:val="0F766E"/>
            <w:u w:val="single"/>
          </w:rPr>
          <w:t>https://docs.cntd.ru/document/573500115</w:t>
        </w:r>
      </w:hyperlink>
    </w:p>
    <w:p>
      <w:pPr>
        <w:ind w:left="504"/>
      </w:pPr>
      <w:r>
        <w:rPr>
          <w:b w:val="0"/>
          <w:i/>
        </w:rPr>
        <w:t>Показатель «продолжительность ночного сна» нормируется для детей разных возрастов в соответствии с таблицей 6.7. «Показатели организации образовательного процесса»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ч. VI, табл. 6.7.</w:t>
        <w:br/>
        <w:br/>
      </w:r>
      <w:hyperlink r:id="rId12">
        <w:r>
          <w:rPr>
            <w:color w:val="0F766E"/>
            <w:u w:val="single"/>
          </w:rPr>
          <w:t>https://docs.cntd.ru/document/573500115</w:t>
        </w:r>
      </w:hyperlink>
    </w:p>
    <w:p>
      <w:pPr>
        <w:ind w:left="504"/>
      </w:pPr>
      <w:r>
        <w:rPr>
          <w:b w:val="0"/>
          <w:i/>
        </w:rPr>
        <w:t>Показатель «продолжительность утренней зарядки» нормируется для детей разных возрастов в соответствии с таблицей 6.7. «Показатели организации образовательного процесса»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ч. VI, табл. 6.7.</w:t>
        <w:br/>
        <w:br/>
      </w:r>
      <w:hyperlink r:id="rId12">
        <w:r>
          <w:rPr>
            <w:color w:val="0F766E"/>
            <w:u w:val="single"/>
          </w:rPr>
          <w:t>https://docs.cntd.ru/document/573500115</w:t>
        </w:r>
      </w:hyperlink>
    </w:p>
    <w:p>
      <w:pPr>
        <w:ind w:left="504"/>
      </w:pPr>
      <w:r>
        <w:rPr>
          <w:b w:val="0"/>
          <w:i/>
        </w:rPr>
        <w:t>Показатель «продолжительность учебного занятия для обучающихся» нормируется для детей разных возрастов в соответствии с таблицей 6.6. «Требования к организации образовательного процесса»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ч. VI, табл. 6.6.</w:t>
        <w:br/>
        <w:br/>
      </w:r>
      <w:hyperlink r:id="rId12">
        <w:r>
          <w:rPr>
            <w:color w:val="0F766E"/>
            <w:u w:val="single"/>
          </w:rPr>
          <w:t>https://docs.cntd.ru/document/573500115</w:t>
        </w:r>
      </w:hyperlink>
    </w:p>
    <w:p>
      <w:pPr>
        <w:ind w:left="504"/>
      </w:pPr>
      <w:r>
        <w:rPr>
          <w:b w:val="0"/>
          <w:i/>
        </w:rPr>
        <w:t>Показатель «продолжительность дневного сна» нормируется для детей разных возрастов в соответствии с таблицей 6.7. «Показатели организации образовательного процесса»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  <w:br/>
        <w:br/>
        <w:t>СанПиН 1.2.3685-21 «Гигиенические нормативы и требования к обеспечению безопасности и (или) безвредности для человека факторов среды обитания», ч. VI, табл. 6.7.</w:t>
        <w:br/>
        <w:br/>
      </w:r>
      <w:hyperlink r:id="rId12">
        <w:r>
          <w:rPr>
            <w:color w:val="0F766E"/>
            <w:u w:val="single"/>
          </w:rPr>
          <w:t>https://docs.cntd.ru/document/573500115</w:t>
        </w:r>
      </w:hyperlink>
    </w:p>
    <w:p>
      <w:pPr>
        <w:pStyle w:val="Heading2"/>
      </w:pPr>
      <w:r>
        <w:t>2. Разработка мероприятий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Консультирование не предусматривает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предоставление результатов экспертизы, проведенной в рамках надзорного мероприятия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отсутствие учета проведения данного мероприятия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разглашение информации, доступ к которой ограничен в соответствии с законодательством РФ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общение посредством видео-конференц-связи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использование полученной информации для оценки соблюдения обязательных требований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предоставление информации, содержащей оценку конкретного надзорного мероприятия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предоставление результатов экспертизы, проведенной в рамках надзорного мероприятия; отсутствие учета проведения данного мероприятия; разглашение информации, доступ к которой ограничен в соответствии с законодательством РФ; использование полученной информации для оценки соблюдения обязательных требований; предоставление информации, содержащей оценку конкретного надзорного мероприятия</w:t>
      </w:r>
    </w:p>
    <w:p>
      <w:pPr>
        <w:ind w:left="504"/>
      </w:pPr>
      <w:r>
        <w:rPr>
          <w:b w:val="0"/>
          <w:i/>
        </w:rPr>
        <w:t>В ходе консультирования не может предоставляться информация, «…» а также результаты проведенных в рамках контрольного (надзорного) мероприятия экспертизы, испытаний.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6, ст. 50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Контрольные (надзорные) органы осуществляют учет консультирований.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8, ст. 50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При осуществлении консультирования должностное лицо контрольного (надзорного) органа обязано соблюдать конфиденциальность информации, доступ к которой ограничен в соответствии с законодательством Российской Федерации.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5, ст. 50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Информация, ставшая известной должностному лицу контрольного (надзорного) органа в ходе консультирования, не может использоваться контрольным (надзорным) органом в целях оценки контролируемого лица по вопросам соблюдения обязательных требований.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7, ст. 50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p>
      <w:pPr>
        <w:ind w:left="504"/>
      </w:pPr>
      <w:r>
        <w:rPr>
          <w:b w:val="0"/>
          <w:i/>
        </w:rPr>
        <w:t>В ходе консультирования не может предоставляться информация, содержащая оценку конкретного контрольного (надзорного) мероприятия «…»</w:t>
        <w:br/>
        <w:br/>
        <w:t>Федерального закона «О государственном контроле (надзоре) и муниципальном контроле в Российской Федерации» от 31.07.2020 № 248-ФЗ, п. 6, ст. 50</w:t>
        <w:br/>
        <w:br/>
      </w:r>
      <w:hyperlink r:id="rId9">
        <w:r>
          <w:rPr>
            <w:color w:val="0F766E"/>
            <w:u w:val="single"/>
          </w:rPr>
          <w:t>http://www.consultant.ru/document/cons_doc_LAW_358750/92dd2b5bacbe0c35bc07c3096528f0e5046d4af9/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://www.consultant.ru/document/cons_doc_LAW_358750/92dd2b5bacbe0c35bc07c3096528f0e5046d4af9/" TargetMode="External"/><Relationship Id="rId10" Type="http://schemas.openxmlformats.org/officeDocument/2006/relationships/hyperlink" Target="https://docs.cntd.ru/document/607148291" TargetMode="External"/><Relationship Id="rId11" Type="http://schemas.openxmlformats.org/officeDocument/2006/relationships/hyperlink" Target="https://docs.cntd.ru/document/566085656" TargetMode="External"/><Relationship Id="rId12" Type="http://schemas.openxmlformats.org/officeDocument/2006/relationships/hyperlink" Target="https://docs.cntd.ru/document/5735001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